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1C" w:rsidRPr="00227A1C" w:rsidRDefault="00227A1C" w:rsidP="00227A1C">
      <w:pPr>
        <w:pStyle w:val="1"/>
        <w:jc w:val="center"/>
        <w:rPr>
          <w:rFonts w:ascii="FreeSetLightC" w:eastAsia="MS Mincho" w:hAnsi="FreeSetLightC"/>
        </w:rPr>
      </w:pPr>
      <w:r w:rsidRPr="00227A1C">
        <w:rPr>
          <w:rFonts w:ascii="FreeSetLightC" w:eastAsia="MS Mincho" w:hAnsi="FreeSetLightC"/>
        </w:rPr>
        <w:t>Требования к оформлению платежного поручения при осущ</w:t>
      </w:r>
      <w:r>
        <w:rPr>
          <w:rFonts w:ascii="FreeSetLightC" w:eastAsia="MS Mincho" w:hAnsi="FreeSetLightC"/>
        </w:rPr>
        <w:t>ествлении переводов в валюте РФ</w:t>
      </w:r>
    </w:p>
    <w:p w:rsidR="00227A1C" w:rsidRPr="0096519D" w:rsidRDefault="00227A1C" w:rsidP="00227A1C">
      <w:pPr>
        <w:ind w:left="1134"/>
        <w:jc w:val="both"/>
        <w:rPr>
          <w:rFonts w:ascii="FreeSetLightC" w:eastAsia="MS Mincho" w:hAnsi="FreeSetLightC" w:cs="Arial"/>
          <w:sz w:val="22"/>
          <w:szCs w:val="22"/>
        </w:rPr>
      </w:pPr>
    </w:p>
    <w:p w:rsidR="00227A1C" w:rsidRPr="00227A1C" w:rsidRDefault="00227A1C" w:rsidP="00227A1C">
      <w:pPr>
        <w:pStyle w:val="a3"/>
        <w:numPr>
          <w:ilvl w:val="0"/>
          <w:numId w:val="2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 xml:space="preserve">Требования по оформлению поля «Назначение платежа» </w:t>
      </w:r>
    </w:p>
    <w:p w:rsidR="00227A1C" w:rsidRPr="0096519D" w:rsidRDefault="00227A1C" w:rsidP="00227A1C">
      <w:pPr>
        <w:ind w:firstLine="426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При оформлении платежного поручения заполнение поля «Назначение платежа» начинается с указания кода VO в соответствии с Таблицей 1. Указанная информация должна быть заключена в фигурные скобки и иметь следующий вид:</w:t>
      </w:r>
    </w:p>
    <w:p w:rsidR="00227A1C" w:rsidRPr="0096519D" w:rsidRDefault="00227A1C" w:rsidP="00227A1C">
      <w:pPr>
        <w:ind w:left="2835" w:firstLine="426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{VO -код вида валютной операции}                      </w:t>
      </w:r>
    </w:p>
    <w:p w:rsidR="00227A1C" w:rsidRPr="0096519D" w:rsidRDefault="00227A1C" w:rsidP="00227A1C">
      <w:pPr>
        <w:ind w:firstLine="426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Отступы (пробелы) внутри фигурных скобок не допускаются. Запрещается использовать в коде VO символы вместо цифр!</w:t>
      </w:r>
    </w:p>
    <w:p w:rsidR="00227A1C" w:rsidRPr="0096519D" w:rsidRDefault="00227A1C" w:rsidP="00227A1C">
      <w:pPr>
        <w:ind w:firstLine="426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В назначении платежа необходимо указывать наименование товаров, работ, услуг, номера и даты контракта (инвойса), а также может указываться другая необходимая информация, в том числе налог на добавленную стоимость. Формулировки типа «за товары» или «за оказанные услуги» не допускаются. </w:t>
      </w:r>
    </w:p>
    <w:p w:rsidR="00227A1C" w:rsidRPr="0096519D" w:rsidRDefault="00227A1C" w:rsidP="00227A1C">
      <w:pPr>
        <w:pStyle w:val="a4"/>
        <w:ind w:firstLine="426"/>
      </w:pPr>
      <w:r w:rsidRPr="0096519D">
        <w:t xml:space="preserve">При предоставлении счета в котором присутствует НДС, необходимо акцентировать внимание клиента на указание в поле «Назначение платежа» НДС. НДС проставляется по желанию клиента. </w:t>
      </w:r>
    </w:p>
    <w:p w:rsidR="00227A1C" w:rsidRPr="0096519D" w:rsidRDefault="00227A1C" w:rsidP="00227A1C">
      <w:pPr>
        <w:pStyle w:val="a6"/>
      </w:pPr>
      <w:r w:rsidRPr="0096519D">
        <w:t>Количество символов в назначении платежа не должно превышать 200 (Рекомендуемое количество – 140 символов).</w:t>
      </w: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</w:p>
    <w:p w:rsidR="00227A1C" w:rsidRPr="00227A1C" w:rsidRDefault="00227A1C" w:rsidP="00227A1C">
      <w:pPr>
        <w:pStyle w:val="a3"/>
        <w:numPr>
          <w:ilvl w:val="0"/>
          <w:numId w:val="2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>К платежам в бюджетную систему РФ относятся платежи, в которых</w:t>
      </w:r>
    </w:p>
    <w:p w:rsidR="00227A1C" w:rsidRPr="0096519D" w:rsidRDefault="00A17C4B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>–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 в 7-9 разрядах Банковского идентификационного кода (БИК) Банка получателя указаны цифры 000, 001, 002 и </w:t>
      </w:r>
    </w:p>
    <w:p w:rsidR="00227A1C" w:rsidRPr="0096519D" w:rsidRDefault="00A17C4B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>–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 в поле «Номер счета получателя» указаны счета, начинающиеся со следующих цифр: 40101, 40302, 40501, 40601, 40701, 40503,40603, 40703. </w:t>
      </w:r>
    </w:p>
    <w:p w:rsidR="00227A1C" w:rsidRPr="0096519D" w:rsidRDefault="00227A1C" w:rsidP="00227A1C">
      <w:pPr>
        <w:pStyle w:val="a4"/>
        <w:spacing w:before="240"/>
      </w:pPr>
      <w:r w:rsidRPr="0096519D">
        <w:t xml:space="preserve">В распоряжениях по переводу денежных средств в бюджетную систему Российской Федерации в поле «назначение платежа» необходимо указывать: </w:t>
      </w:r>
    </w:p>
    <w:p w:rsidR="00227A1C" w:rsidRPr="0096519D" w:rsidRDefault="00227A1C" w:rsidP="00227A1C">
      <w:pPr>
        <w:pStyle w:val="a4"/>
        <w:spacing w:before="240"/>
      </w:pPr>
      <w:r w:rsidRPr="0096519D">
        <w:t>Обязательными для заполнения являются следующие поля:</w:t>
      </w:r>
    </w:p>
    <w:p w:rsidR="00227A1C" w:rsidRPr="00227A1C" w:rsidRDefault="00227A1C" w:rsidP="00227A1C">
      <w:pPr>
        <w:pStyle w:val="a3"/>
        <w:numPr>
          <w:ilvl w:val="0"/>
          <w:numId w:val="3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 xml:space="preserve">УИН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227A1C">
        <w:rPr>
          <w:rFonts w:ascii="FreeSetLightC" w:eastAsia="MS Mincho" w:hAnsi="FreeSetLightC" w:cs="Arial"/>
          <w:sz w:val="22"/>
          <w:szCs w:val="22"/>
        </w:rPr>
        <w:t xml:space="preserve"> уникальный идентификатор начислений (состоит из 20 или 25 знаков). Если УИН не указан клиентом, то указывается «ноль».</w:t>
      </w:r>
    </w:p>
    <w:p w:rsidR="00227A1C" w:rsidRPr="00227A1C" w:rsidRDefault="00227A1C" w:rsidP="00227A1C">
      <w:pPr>
        <w:pStyle w:val="a3"/>
        <w:numPr>
          <w:ilvl w:val="0"/>
          <w:numId w:val="3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>ИНН – идентификационный номер налогоплательщика (состоит из 10 цифр, при этом первый и второй знак не могут одновременно принимать значение «0»).</w:t>
      </w:r>
    </w:p>
    <w:p w:rsidR="00227A1C" w:rsidRPr="00227A1C" w:rsidRDefault="00227A1C" w:rsidP="00227A1C">
      <w:pPr>
        <w:pStyle w:val="a3"/>
        <w:numPr>
          <w:ilvl w:val="0"/>
          <w:numId w:val="3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>КПП – код причины постановки на учет (состоит из 9 цифр).</w:t>
      </w:r>
    </w:p>
    <w:p w:rsidR="00227A1C" w:rsidRPr="00227A1C" w:rsidRDefault="00227A1C" w:rsidP="00227A1C">
      <w:pPr>
        <w:pStyle w:val="a3"/>
        <w:numPr>
          <w:ilvl w:val="0"/>
          <w:numId w:val="3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 xml:space="preserve">Бюджетный статус – состоит из 2 цифр и выбирается из предложенного справочника. Возможны следующие варианты: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0</w:t>
      </w:r>
      <w:r>
        <w:rPr>
          <w:rFonts w:ascii="FreeSetLightC" w:eastAsia="MS Mincho" w:hAnsi="FreeSetLightC" w:cs="Arial"/>
          <w:sz w:val="22"/>
          <w:szCs w:val="22"/>
        </w:rPr>
        <w:t xml:space="preserve">1 –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налогоплательщик (плательщик сборов, страховых взносов и иных платежей, администрируемых налоговыми органами) – юридическое лицо.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02 – налоговый агент.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03 – организация федеральной почтовой связи, составившая распоряжение о переводе денежных средств по каждому платежу физического лица, за исключением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уплаты таможенных платежей.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04 – налоговый орган.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05 – Федеральная служба судебных приставов и ее территориальные органы.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06 – участник внешнеэкономической деятельности – юридическое лицо, за исключением получателя международного почтового отправления.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07 – таможенный орган.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08 – плательщик – юридическое лицо, индивидуальный предприниматель, нотариус, занимающийся частной практикой, адвокат, учредивший адвокатский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кабинет, глава крестьянского (фермерского) хозяйства, осуществляющие перевод денежных средств в уплату платежей в бюджетную систему Российской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Федерации (за исключением налогов, сборов, страховых взносов и иных платежей, администрируемых налоговыми органами).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lastRenderedPageBreak/>
        <w:t xml:space="preserve">09 – налогоплательщик (плательщик сборов, страховых взносов и иных платежей, администрируемых налоговыми органами)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индивидуальный предприниматель.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10 – налогоплательщик (плательщик сборов, страховых взносов и иных платежей, администрируемых налоговыми органами)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нотариус, занимающийся частной практикой.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11 – налогоплательщик (плательщик сборов, страховых взносов и иных платежей, администрируемых налоговыми органами)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адвокат, учредивший адвокатский кабинет.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12 – налогоплательщик (плательщик сборов, страховых взносов и иных платежей, администрируемых налоговыми органами)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глава крестьянского (фермерского) хозяйства.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13 – налогоплательщик (плательщик сборов за совершение налоговыми органами юридически значимых действий, страховых взносов и иных платежей, администрируемых налоговыми органами) физическое лицо.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15 – кредитная организация (филиал кредитной организации), платежный агент, организация федеральной почтовой связи, составившие платежное поручение на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общую сумму с реестром на перевод денежных средств, принятых от плательщиков – физических лиц.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16 – участник внешнеэкономической деятельности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физическое лицо.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17 – участник внешнеэкономической деятельности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индивидуальный предприниматель.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18 – плательщик таможенных платежей, не являющийся декларантом, на которого законодательством Российской Федерации возложена обязанность по уплате таможенных платежей.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19 – организации и их филиалы (далее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организации), составившие распоряжение о переводе денежных средств, удержанных из заработной платы (дохода) должника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физического лица в счет погашения задолженности по платежам в бюджетную систему Российской Федерации на основании исполнительного документа, направленного в организацию в установленном порядке.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20 – кредитная организация (филиал кредитной организации), платежный агент, составившие распоряжение о переводе денежных средств по каждому платежу физического лица.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21 – ответственный участник консолидированной группы налогоплательщиков.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22 – участник консолидированной группы налогоплательщиков.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23 – Фонд социального страхования Российской Федерации.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24 – плательщик – физическое лицо, осуществляющее перевод денежных средств в уплату сборов, страховых взносов, администрируемых Фондом социального страхования Российской Федерации, и иных платежей в бюджетную систему Российской Федерации (за исключением сборов за совершение налоговыми органами юридически значимых действий и иных платежей, администрируемых налоговыми и таможенными органами).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25 – банки-гаранты, составившие распоряжение о переводе денежных средств в бюджетную систему Российской Федерации при возврате налога на добавленную стоимость, излишне полученной налогоплательщиком (зачтенной ему) в заявительном порядке, а также при уплате акцизов, исчисленных по операциям реализации подакцизных товаров за пределы территории Российской Федерации, и акцизов по алкогольной и (или) подакцизной спиртосодержащей продукции.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S26 – учредители (участники) должника, собственники имущества должника – унитарного предприятия или третьи лица, составившие распоряжение о переводе денежных средств на погашение требований к должнику по уплате обязательных платежей, включенных в реестр требований кредиторов, в ходе процедур, применяемых в деле о банкротстве.  </w:t>
      </w:r>
    </w:p>
    <w:p w:rsidR="00227A1C" w:rsidRPr="0096519D" w:rsidRDefault="00227A1C" w:rsidP="00227A1C">
      <w:pPr>
        <w:pStyle w:val="2"/>
      </w:pPr>
      <w:r w:rsidRPr="0096519D">
        <w:t xml:space="preserve">27 – кредитные организации (филиалы кредитных организаций), составившие распоряжение о переводе денежных средств, перечисленных из бюджетной системы Российской Федерации, не зачисленных получателю и подлежащих возврату в бюджетную систему Российской Федерации.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28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участник внешнеэкономической деятельности – получатель международного почтового отправления.  </w:t>
      </w:r>
    </w:p>
    <w:p w:rsidR="00227A1C" w:rsidRPr="00227A1C" w:rsidRDefault="00227A1C" w:rsidP="00A17C4B">
      <w:pPr>
        <w:pStyle w:val="a3"/>
        <w:numPr>
          <w:ilvl w:val="0"/>
          <w:numId w:val="3"/>
        </w:numPr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>КБК</w:t>
      </w:r>
      <w:r w:rsidRPr="00227A1C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227A1C">
        <w:rPr>
          <w:rFonts w:ascii="FreeSetLightC" w:eastAsia="MS Mincho" w:hAnsi="FreeSetLightC" w:cs="Arial"/>
          <w:sz w:val="22"/>
          <w:szCs w:val="22"/>
        </w:rPr>
        <w:t>– код бюджетной классификации (состоит из 20 цифр).</w:t>
      </w:r>
    </w:p>
    <w:p w:rsidR="00227A1C" w:rsidRPr="00227A1C" w:rsidRDefault="00227A1C" w:rsidP="00A17C4B">
      <w:pPr>
        <w:pStyle w:val="a3"/>
        <w:numPr>
          <w:ilvl w:val="0"/>
          <w:numId w:val="3"/>
        </w:numPr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t>ОКТМО – код Общероссийского классификатора территорий муниципальных образований (состоит из 8 цифр).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</w:p>
    <w:p w:rsidR="00227A1C" w:rsidRPr="00227A1C" w:rsidRDefault="00227A1C" w:rsidP="00227A1C">
      <w:pPr>
        <w:pStyle w:val="a3"/>
        <w:numPr>
          <w:ilvl w:val="0"/>
          <w:numId w:val="2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227A1C">
        <w:rPr>
          <w:rFonts w:ascii="FreeSetLightC" w:eastAsia="MS Mincho" w:hAnsi="FreeSetLightC" w:cs="Arial"/>
          <w:sz w:val="22"/>
          <w:szCs w:val="22"/>
        </w:rPr>
        <w:lastRenderedPageBreak/>
        <w:t>Особенности оформления платежных поручений.</w:t>
      </w:r>
    </w:p>
    <w:p w:rsidR="00227A1C" w:rsidRPr="0096519D" w:rsidRDefault="00227A1C" w:rsidP="00227A1C">
      <w:pPr>
        <w:pStyle w:val="a4"/>
        <w:spacing w:after="240"/>
      </w:pPr>
      <w:r w:rsidRPr="0096519D">
        <w:t>В платежных поручениях, используемых при перечислении налогов, сборов и иных обязательных платежей в бюджетную систему Российской Федерации, помимо реквизитов, указанных в п.2 обязательным является указание следующей информации:</w:t>
      </w:r>
    </w:p>
    <w:p w:rsidR="00227A1C" w:rsidRPr="001327EE" w:rsidRDefault="00227A1C" w:rsidP="001327EE">
      <w:pPr>
        <w:pStyle w:val="a3"/>
        <w:numPr>
          <w:ilvl w:val="0"/>
          <w:numId w:val="5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 xml:space="preserve">Основание платежа состоит из 2 цифр и выбирается из предложенного справочника в зависимости от вида налога. </w:t>
      </w:r>
    </w:p>
    <w:p w:rsidR="00A17C4B" w:rsidRDefault="00227A1C" w:rsidP="001327EE">
      <w:pPr>
        <w:spacing w:before="240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Возможны следующие варианты: </w:t>
      </w:r>
    </w:p>
    <w:p w:rsidR="00227A1C" w:rsidRPr="0096519D" w:rsidRDefault="00227A1C" w:rsidP="001327EE">
      <w:pPr>
        <w:spacing w:before="240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ТП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TP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платежи текущего года;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ЗД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ZD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добровольное погашение задолженности по истекшим налоговым, расчетным (отчетным) периодам при отсутствии требования налогового органа об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уплате налогов (сборов, страховых взносов);  </w:t>
      </w:r>
    </w:p>
    <w:p w:rsidR="00227A1C" w:rsidRPr="0096519D" w:rsidRDefault="00227A1C" w:rsidP="00227A1C">
      <w:pPr>
        <w:pStyle w:val="2"/>
      </w:pPr>
      <w:r w:rsidRPr="0096519D">
        <w:t xml:space="preserve">БФ </w:t>
      </w:r>
      <w:r w:rsidR="001327EE">
        <w:t>–</w:t>
      </w:r>
      <w:r w:rsidRPr="0096519D">
        <w:t xml:space="preserve"> BF </w:t>
      </w:r>
      <w:r>
        <w:t>–</w:t>
      </w:r>
      <w:r w:rsidRPr="0096519D">
        <w:t xml:space="preserve"> текущие платежи физических лиц - клиентов банка (владельцев счета), уплачиваемые со своего банковского счета</w:t>
      </w:r>
      <w:r w:rsidR="001327EE">
        <w:t>;</w:t>
      </w:r>
      <w:r w:rsidRPr="0096519D">
        <w:t xml:space="preserve">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ТР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TR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задолженности по требованию налогового органа об уплате налогов (сборов, страховых взносов);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РС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RS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погашение рассроченной задолженности;  </w:t>
      </w:r>
    </w:p>
    <w:p w:rsidR="00227A1C" w:rsidRPr="0096519D" w:rsidRDefault="001327EE" w:rsidP="00227A1C">
      <w:pPr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 xml:space="preserve">ОТ – 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OT </w:t>
      </w:r>
      <w:r w:rsidR="00227A1C">
        <w:rPr>
          <w:rFonts w:ascii="FreeSetLightC" w:eastAsia="MS Mincho" w:hAnsi="FreeSetLightC" w:cs="Arial"/>
          <w:sz w:val="22"/>
          <w:szCs w:val="22"/>
        </w:rPr>
        <w:t>–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 погашение отсроченной задолженности;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РТ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RT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погашение </w:t>
      </w:r>
      <w:proofErr w:type="spellStart"/>
      <w:r w:rsidRPr="0096519D">
        <w:rPr>
          <w:rFonts w:ascii="FreeSetLightC" w:eastAsia="MS Mincho" w:hAnsi="FreeSetLightC" w:cs="Arial"/>
          <w:sz w:val="22"/>
          <w:szCs w:val="22"/>
        </w:rPr>
        <w:t>реструктурируемой</w:t>
      </w:r>
      <w:proofErr w:type="spellEnd"/>
      <w:r w:rsidRPr="0096519D">
        <w:rPr>
          <w:rFonts w:ascii="FreeSetLightC" w:eastAsia="MS Mincho" w:hAnsi="FreeSetLightC" w:cs="Arial"/>
          <w:sz w:val="22"/>
          <w:szCs w:val="22"/>
        </w:rPr>
        <w:t xml:space="preserve"> задолженности;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ПБ -PB погашение должником задолженности в ходе процедур, применяемых в деле о банкротстве;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ПР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PR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задолженности, приостановленной к взысканию;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АП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AP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задолженности по акту проверки;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АР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AR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задолженности по исполнительному документу;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ИН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IN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инвестиционного налогового кредита;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ТЛ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TL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погашение учредителем (участником) должника, собственником имущества должника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унитарного предприятия или третьим лицом задолженности в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ходе процедур, применяемых в деле о банкротстве;  </w:t>
      </w:r>
    </w:p>
    <w:p w:rsidR="00227A1C" w:rsidRPr="0096519D" w:rsidRDefault="00227A1C" w:rsidP="00227A1C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ЗТ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ZT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>
        <w:rPr>
          <w:rFonts w:ascii="FreeSetLightC" w:eastAsia="MS Mincho" w:hAnsi="FreeSetLightC" w:cs="Arial"/>
          <w:sz w:val="22"/>
          <w:szCs w:val="22"/>
        </w:rPr>
        <w:t>–</w:t>
      </w:r>
      <w:r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>погашение текущей задолженности в ходе процедур, применяемых в деле о банкротстве.</w:t>
      </w:r>
    </w:p>
    <w:p w:rsidR="00227A1C" w:rsidRPr="001327EE" w:rsidRDefault="00227A1C" w:rsidP="00A17C4B">
      <w:pPr>
        <w:pStyle w:val="a3"/>
        <w:numPr>
          <w:ilvl w:val="0"/>
          <w:numId w:val="5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>Налоговый период – указывается периодичность уплаты налога (сбора) (месяц, квартал, полугодие или год)</w:t>
      </w:r>
      <w:r w:rsidRP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1327EE">
        <w:rPr>
          <w:rFonts w:ascii="FreeSetLightC" w:eastAsia="MS Mincho" w:hAnsi="FreeSetLightC" w:cs="Arial"/>
          <w:sz w:val="22"/>
          <w:szCs w:val="22"/>
        </w:rPr>
        <w:t>–</w:t>
      </w:r>
      <w:r w:rsidRP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1327EE">
        <w:rPr>
          <w:rFonts w:ascii="FreeSetLightC" w:eastAsia="MS Mincho" w:hAnsi="FreeSetLightC" w:cs="Arial"/>
          <w:sz w:val="22"/>
          <w:szCs w:val="22"/>
        </w:rPr>
        <w:t>выбирается из предложенного перечня.</w:t>
      </w:r>
    </w:p>
    <w:p w:rsidR="00227A1C" w:rsidRPr="0096519D" w:rsidRDefault="00227A1C" w:rsidP="00A17C4B">
      <w:pPr>
        <w:pStyle w:val="3"/>
      </w:pPr>
      <w:r w:rsidRPr="0096519D">
        <w:t>Если платеж осуществляется с целью погашения задолженности по акту проведенной проверки или исполнительному документу, то в подполе "налоговый период" указывается «ноль».</w:t>
      </w:r>
    </w:p>
    <w:p w:rsidR="00227A1C" w:rsidRPr="0096519D" w:rsidRDefault="00227A1C" w:rsidP="00A17C4B">
      <w:pPr>
        <w:ind w:left="720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В случае досрочной уплаты налогоплательщиком налога (сбора) в подполе «налоговый период» указывается первый предстоящий налоговый период, за который должна производиться уплата налога (сбора).</w:t>
      </w:r>
    </w:p>
    <w:p w:rsidR="00227A1C" w:rsidRPr="001327EE" w:rsidRDefault="00227A1C" w:rsidP="00A17C4B">
      <w:pPr>
        <w:pStyle w:val="a3"/>
        <w:numPr>
          <w:ilvl w:val="0"/>
          <w:numId w:val="5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>Номер налогового документа. При указании в подполе «номер налогового документа» соответствующей информации символ «N» не используется. При уплате текущих платежей, в том числе на основании налоговой декларации, или добровольном погашении задолженности при отсутствии требования об уплате налогов (сборов) от налогового органа в подполе «номер налогового документа» проставляется ноль.</w:t>
      </w:r>
    </w:p>
    <w:p w:rsidR="00227A1C" w:rsidRPr="0096519D" w:rsidRDefault="00227A1C" w:rsidP="00A17C4B">
      <w:pPr>
        <w:ind w:left="720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В случае уплаты налоговых платежей, страховых взносов плательщика – физического лица – клиента банка на основании налоговой декларации в подполе «номер налогового документа» проставляется ноль.</w:t>
      </w:r>
    </w:p>
    <w:p w:rsidR="00227A1C" w:rsidRPr="001327EE" w:rsidRDefault="00227A1C" w:rsidP="00A17C4B">
      <w:pPr>
        <w:pStyle w:val="a3"/>
        <w:numPr>
          <w:ilvl w:val="0"/>
          <w:numId w:val="5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>Дата налогового документа. Если значение подполя не определено, то в подполе «дата налогового документа» проставляется ноль.</w:t>
      </w: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В платежных поручениях, используемых при перечислении таможенных и иных платежей от внешнеэкономической деятельности, помимо реквизитов, указанных в п.2 обязательным является указание следующей информации:</w:t>
      </w:r>
    </w:p>
    <w:p w:rsidR="00227A1C" w:rsidRPr="001327EE" w:rsidRDefault="00227A1C" w:rsidP="001327EE">
      <w:pPr>
        <w:pStyle w:val="a3"/>
        <w:numPr>
          <w:ilvl w:val="0"/>
          <w:numId w:val="7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lastRenderedPageBreak/>
        <w:t xml:space="preserve">Основание платежа состоит из 2 цифр и выбирается из предложенного справочника в зависимости от вида таможенного платежа. </w:t>
      </w:r>
    </w:p>
    <w:p w:rsidR="00227A1C" w:rsidRPr="0096519D" w:rsidRDefault="00227A1C" w:rsidP="00A17C4B">
      <w:pPr>
        <w:pStyle w:val="a4"/>
        <w:spacing w:before="240" w:after="240"/>
      </w:pPr>
      <w:r w:rsidRPr="0096519D">
        <w:t>Возможны следующие варианты: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ДЕ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DE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декларация на товары, за исключением деклараций на товары, платежи по которым уплачиваются плательщиками таможенных пошлин, налогов –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юридическими и физическими лицами (далее – плательщики таможенных платежей) в соответствии со статьями 114, 115, 116 Федерального закона от 27 ноября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2010 г № 311-ФЗ «О таможенном регулировании в Российской Федерации» (далее – Федеральный закон № 311-ФЗ) с использованием электронных терминалов,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платежных 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ПО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PO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таможенный приходный ордер, за исключением таможенных приходных ордеров, платежи по которым уплачиваются плательщиками таможенных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платежей в соответствии со статьями 114, 115. 116 Федерального закона № 311-ФЗ с использованием электронных терминалов, платежных терминалов и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банкоматов;  </w:t>
      </w:r>
    </w:p>
    <w:p w:rsidR="00227A1C" w:rsidRPr="0096519D" w:rsidRDefault="001327EE" w:rsidP="00A17C4B">
      <w:pPr>
        <w:pStyle w:val="2"/>
      </w:pPr>
      <w:r>
        <w:t xml:space="preserve">КТ – </w:t>
      </w:r>
      <w:r w:rsidR="00227A1C" w:rsidRPr="0096519D">
        <w:t xml:space="preserve">KT </w:t>
      </w:r>
      <w:r>
        <w:t>–</w:t>
      </w:r>
      <w:r>
        <w:t xml:space="preserve"> </w:t>
      </w:r>
      <w:r w:rsidR="00227A1C" w:rsidRPr="0096519D">
        <w:t xml:space="preserve">корректировка декларации на товары, за исключением корректировок деклараций на товары, платежи по которым уплачиваются плательщиками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таможенных платежей в соответствии со статьями 114, 115, 116 Федерального закона № 311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ФЗ с использованием электронных терминалов, платежных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ИД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ID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исполнительный документ;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ИП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IP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инкассовое поручение;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ТУ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TU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требование об уплате таможенных платежей, за исключением требований об уплате таможенных платежей, платежи по которым уплачиваются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плательщиками таможенных платежей в соответствии со статьями 114, 115, 116 Федерального закона N 311-ФЗ с использованием электронных терминалов,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платежных 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БД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BD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документы финансово-хозяйственной деятельности таможенных органов;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ИН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IN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документ инкассации;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КП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KP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соглашение о взаимодействии при уплате крупными плательщиками суммарных платежей в централизованном порядке;  </w:t>
      </w:r>
    </w:p>
    <w:p w:rsidR="00227A1C" w:rsidRPr="0096519D" w:rsidRDefault="001327EE" w:rsidP="00A17C4B">
      <w:pPr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 xml:space="preserve">ДК – 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DK </w:t>
      </w:r>
      <w:r>
        <w:rPr>
          <w:rFonts w:ascii="FreeSetLightC" w:eastAsia="MS Mincho" w:hAnsi="FreeSetLightC" w:cs="Arial"/>
          <w:sz w:val="22"/>
          <w:szCs w:val="22"/>
        </w:rPr>
        <w:t>–</w:t>
      </w:r>
      <w:r w:rsidR="00227A1C" w:rsidRPr="0096519D">
        <w:rPr>
          <w:rFonts w:ascii="FreeSetLightC" w:eastAsia="MS Mincho" w:hAnsi="FreeSetLightC" w:cs="Arial"/>
          <w:sz w:val="22"/>
          <w:szCs w:val="22"/>
        </w:rPr>
        <w:t xml:space="preserve"> декларация на товары, платежи по которой уплачиваются плательщиками таможенных платежей в соответствии со статьями 114, 115, 116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Федерального закона № 311-ФЗ с использованием электронных терминалов, платежных терминалов и банкоматов;  </w:t>
      </w:r>
    </w:p>
    <w:p w:rsidR="00227A1C" w:rsidRPr="0096519D" w:rsidRDefault="00227A1C" w:rsidP="00A17C4B">
      <w:pPr>
        <w:pStyle w:val="2"/>
      </w:pPr>
      <w:r w:rsidRPr="0096519D">
        <w:t xml:space="preserve">ПК – PK </w:t>
      </w:r>
      <w:r w:rsidR="001327EE">
        <w:t>–</w:t>
      </w:r>
      <w:r w:rsidRPr="0096519D">
        <w:t xml:space="preserve"> таможенный приходный ордер, платежи по которому уплачиваются плательщиками таможенных платежей в соответствии со статьями 114, 115, 116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Федерального закона № 311-ФЗ с использованием электронных терминалов, платежных 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КК – KK</w:t>
      </w:r>
      <w:r w:rsid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корректировка декларации на товары, платежи по которой уплачиваются плательщиками таможенных платежей в соответствии со статьями 114, 115,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116 Федерального закона № 311-ФЗ с использованием электронных терминалов, платежных 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ТК – TK</w:t>
      </w:r>
      <w:r w:rsidR="001327EE">
        <w:rPr>
          <w:rFonts w:ascii="FreeSetLightC" w:eastAsia="MS Mincho" w:hAnsi="FreeSetLightC" w:cs="Arial"/>
          <w:sz w:val="22"/>
          <w:szCs w:val="22"/>
        </w:rPr>
        <w:t xml:space="preserve"> 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требование об уплате таможенных платежей, платежи по которому уплачиваются плательщиками таможенных платежей в соответствии со статьями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114, 115, 116 Федерального закона № 311-ФЗ с использованием электронных терминалов, платежных терминалов и банкоматов;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ПД – PD – пассажирская таможенная декларация;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КВ – KV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квитанция получателя международного почтового отправления;  </w:t>
      </w:r>
    </w:p>
    <w:p w:rsidR="00227A1C" w:rsidRPr="0096519D" w:rsidRDefault="001327EE" w:rsidP="00A17C4B">
      <w:pPr>
        <w:pStyle w:val="a4"/>
        <w:spacing w:after="240"/>
        <w:jc w:val="left"/>
      </w:pPr>
      <w:r>
        <w:t xml:space="preserve">00 </w:t>
      </w:r>
      <w:r w:rsidR="00227A1C" w:rsidRPr="0096519D">
        <w:t xml:space="preserve">– иные случаи.  </w:t>
      </w:r>
    </w:p>
    <w:p w:rsidR="00227A1C" w:rsidRPr="001327EE" w:rsidRDefault="00227A1C" w:rsidP="001327EE">
      <w:pPr>
        <w:pStyle w:val="a3"/>
        <w:numPr>
          <w:ilvl w:val="0"/>
          <w:numId w:val="7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 xml:space="preserve">Код таможенного органа – указывается код таможенного органа, присвоенный правовым актом федерального органа исполнительной власти, </w:t>
      </w:r>
    </w:p>
    <w:p w:rsidR="00227A1C" w:rsidRPr="0096519D" w:rsidRDefault="00227A1C" w:rsidP="00FA6D60">
      <w:pPr>
        <w:pStyle w:val="a4"/>
        <w:spacing w:after="240"/>
      </w:pPr>
      <w:r w:rsidRPr="0096519D">
        <w:t xml:space="preserve">осуществляющего в соответствии с законодательством Российской Федерации функции по выработке государственной политики и нормативному регулированию, контролю и надзору </w:t>
      </w:r>
      <w:r w:rsidRPr="0096519D">
        <w:lastRenderedPageBreak/>
        <w:t>в области таможенного дела, который идентифицирует таможенный орган, осуществляющий администрирование платежа.</w:t>
      </w:r>
    </w:p>
    <w:p w:rsidR="00227A1C" w:rsidRPr="001327EE" w:rsidRDefault="00227A1C" w:rsidP="00FA6D60">
      <w:pPr>
        <w:pStyle w:val="a3"/>
        <w:numPr>
          <w:ilvl w:val="0"/>
          <w:numId w:val="7"/>
        </w:numPr>
        <w:spacing w:after="240"/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>Номер налогового документа. В случае указания в поле «Бюджетный статус» одного из статусов 03, 16, 19, 20 указывается идентификатор сведений о физическом лице. В поле «Ид. Сведений о физическом лице» выбирается тип документа из имеющегося справочника, заполняются поля «Серия», «Номер».</w:t>
      </w: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В случае указания в поле «Бюджетный статус» одного из статусов 03, 16, 19, 20 и одновременного отсутствия уникального идентификатора начисления, указание значения «ноль» допускается только при заполнении реквизита «ИНН» плательщика значением ИНН плательщика - физического лица.</w:t>
      </w:r>
    </w:p>
    <w:p w:rsidR="00227A1C" w:rsidRPr="0096519D" w:rsidRDefault="00227A1C" w:rsidP="00A17C4B">
      <w:pPr>
        <w:pStyle w:val="a4"/>
        <w:spacing w:after="240"/>
      </w:pPr>
      <w:r w:rsidRPr="0096519D">
        <w:t xml:space="preserve">В случае указания в поле «Бюджетный статус» статуса, отличного от 03, 16, 19, 20 после кода указывается, если показатель основания платежа имеет значение: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ДЕ, ДК – DE, DK </w:t>
      </w:r>
      <w:r w:rsidR="00A17C4B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последние 7 цифр из номера таможенной декларации (порядковый номер);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ПО, ПК – PO, PK – последние 7 цифр номера таможенного приходного ордера;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КТ, КК – KT, KK </w:t>
      </w:r>
      <w:r w:rsidR="00A17C4B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последние 7 цифр из номера таможенной декларации (порядковый номер);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ИД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ID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исполнительного документа;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ИП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IP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инкассового поручения;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ТУ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TU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требования об уплате таможенных платежей;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БД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BD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документа бухгалтерских служб таможенных органов;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ИН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IN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документа инкассации;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КП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KP</w:t>
      </w:r>
      <w:r w:rsidR="001327EE">
        <w:rPr>
          <w:rFonts w:ascii="FreeSetLightC" w:eastAsia="MS Mincho" w:hAnsi="FreeSetLightC" w:cs="Arial"/>
          <w:sz w:val="22"/>
          <w:szCs w:val="22"/>
        </w:rPr>
        <w:t xml:space="preserve"> </w:t>
      </w:r>
      <w:r w:rsidR="001327EE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номер соглашения о взаимодействии при уплате крупными плательщиками суммарных платежей в централизованном порядке.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00 – 0</w:t>
      </w:r>
    </w:p>
    <w:p w:rsidR="00227A1C" w:rsidRPr="0096519D" w:rsidRDefault="00227A1C" w:rsidP="00A17C4B">
      <w:pPr>
        <w:pStyle w:val="a4"/>
        <w:spacing w:after="240"/>
        <w:jc w:val="left"/>
      </w:pPr>
      <w:r w:rsidRPr="0096519D">
        <w:t>При указании номера документа знак номера «N» не проставляется.</w:t>
      </w:r>
    </w:p>
    <w:p w:rsidR="00227A1C" w:rsidRPr="001327EE" w:rsidRDefault="00227A1C" w:rsidP="001327EE">
      <w:pPr>
        <w:pStyle w:val="a3"/>
        <w:numPr>
          <w:ilvl w:val="0"/>
          <w:numId w:val="7"/>
        </w:numPr>
        <w:jc w:val="both"/>
        <w:rPr>
          <w:rFonts w:ascii="FreeSetLightC" w:eastAsia="MS Mincho" w:hAnsi="FreeSetLightC" w:cs="Arial"/>
          <w:sz w:val="22"/>
          <w:szCs w:val="22"/>
        </w:rPr>
      </w:pPr>
      <w:r w:rsidRPr="001327EE">
        <w:rPr>
          <w:rFonts w:ascii="FreeSetLightC" w:eastAsia="MS Mincho" w:hAnsi="FreeSetLightC" w:cs="Arial"/>
          <w:sz w:val="22"/>
          <w:szCs w:val="22"/>
        </w:rPr>
        <w:t xml:space="preserve">Показатель даты документа. В данном подполе указывается показатель </w:t>
      </w:r>
    </w:p>
    <w:p w:rsidR="00227A1C" w:rsidRPr="0096519D" w:rsidRDefault="00227A1C" w:rsidP="00227A1C">
      <w:pPr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даты документа в зависимости от значения показателя основания платежа. Указывается в формате ДД.ММ.ГГГГ: календарный день (может принимать значение от 01 до 33  </w:t>
      </w:r>
    </w:p>
    <w:p w:rsidR="00227A1C" w:rsidRPr="0096519D" w:rsidRDefault="00227A1C" w:rsidP="00A17C4B">
      <w:pPr>
        <w:pStyle w:val="a4"/>
        <w:spacing w:after="240"/>
      </w:pPr>
      <w:r w:rsidRPr="0096519D">
        <w:t xml:space="preserve">31), месяц (от 01 до 12), год (4 знака).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ДЕ, ДК и КТ, КК - DE, DK и KT, KK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из номера декларации на товары;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ПО, ПК – PO, PK - дата таможенного приходного ордера;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ИД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="00FA6D60">
        <w:rPr>
          <w:rFonts w:ascii="FreeSetLightC" w:eastAsia="MS Mincho" w:hAnsi="FreeSetLightC" w:cs="Arial"/>
          <w:sz w:val="22"/>
          <w:szCs w:val="22"/>
        </w:rPr>
        <w:t xml:space="preserve"> 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ID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исполнительного документа;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ИП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IP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инкассового поручения;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ТУ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TU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требования об уплате таможенных платежей;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БД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BD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документа финансово-хозяйственной деятельности таможенных органов;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ИН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IN </w:t>
      </w:r>
      <w:r w:rsidR="00FA6D60">
        <w:rPr>
          <w:rFonts w:ascii="FreeSetLightC" w:eastAsia="MS Mincho" w:hAnsi="FreeSetLightC" w:cs="Arial"/>
          <w:sz w:val="22"/>
          <w:szCs w:val="22"/>
        </w:rPr>
        <w:t>–</w:t>
      </w:r>
      <w:r w:rsidRPr="0096519D">
        <w:rPr>
          <w:rFonts w:ascii="FreeSetLightC" w:eastAsia="MS Mincho" w:hAnsi="FreeSetLightC" w:cs="Arial"/>
          <w:sz w:val="22"/>
          <w:szCs w:val="22"/>
        </w:rPr>
        <w:t xml:space="preserve"> дата документа инкассации;  </w:t>
      </w:r>
    </w:p>
    <w:p w:rsidR="001327EE" w:rsidRDefault="00227A1C" w:rsidP="00A17C4B">
      <w:pPr>
        <w:pStyle w:val="21"/>
        <w:ind w:left="0"/>
        <w:jc w:val="left"/>
      </w:pPr>
      <w:r w:rsidRPr="0096519D">
        <w:t xml:space="preserve">КП </w:t>
      </w:r>
      <w:r w:rsidR="00FA6D60">
        <w:t>–</w:t>
      </w:r>
      <w:r w:rsidRPr="0096519D">
        <w:t xml:space="preserve"> KP </w:t>
      </w:r>
      <w:r w:rsidR="00FA6D60">
        <w:t>–</w:t>
      </w:r>
      <w:r w:rsidRPr="0096519D">
        <w:t xml:space="preserve"> дата соглашения о взаимодействии при уплате крупными плательщиками суммарных платежей в централизованном порядке;  </w:t>
      </w:r>
    </w:p>
    <w:p w:rsidR="00227A1C" w:rsidRPr="0096519D" w:rsidRDefault="00227A1C" w:rsidP="00A17C4B">
      <w:pPr>
        <w:pStyle w:val="21"/>
        <w:ind w:left="0"/>
        <w:jc w:val="left"/>
      </w:pPr>
      <w:r w:rsidRPr="0096519D">
        <w:t>00</w:t>
      </w:r>
      <w:r w:rsidR="001327EE">
        <w:t xml:space="preserve"> –</w:t>
      </w:r>
      <w:r w:rsidRPr="0096519D">
        <w:t xml:space="preserve"> иные случаи.  </w:t>
      </w:r>
    </w:p>
    <w:p w:rsidR="00227A1C" w:rsidRPr="0096519D" w:rsidRDefault="00227A1C" w:rsidP="00FA6D60">
      <w:pPr>
        <w:pStyle w:val="a4"/>
        <w:spacing w:before="240"/>
      </w:pPr>
      <w:r w:rsidRPr="0096519D">
        <w:t xml:space="preserve">В платежных поручениях, используемых при перечислении в уплату платежей в бюджетную систему РФ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органами). </w:t>
      </w:r>
    </w:p>
    <w:p w:rsidR="00227A1C" w:rsidRPr="0096519D" w:rsidRDefault="00227A1C" w:rsidP="00A17C4B">
      <w:pPr>
        <w:pStyle w:val="a4"/>
        <w:spacing w:before="240" w:after="240"/>
      </w:pPr>
      <w:r w:rsidRPr="0096519D">
        <w:t xml:space="preserve">Для платежей данной категории в строке «номер счета» указаны следующие счета: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40302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40501 с отличительным признаком 2 в четырнадцатом разряде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40601 с отличительными признаками 1, 3 в четырнадцатом разряде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lastRenderedPageBreak/>
        <w:t xml:space="preserve">40701 с отличительными признаками 1, 3 в четырнадцатом разряде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 xml:space="preserve">40503 с отличительным признаком 4 в четырнадцатом разряде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40603 с отличительн</w:t>
      </w:r>
      <w:bookmarkStart w:id="0" w:name="_GoBack"/>
      <w:bookmarkEnd w:id="0"/>
      <w:r w:rsidRPr="0096519D">
        <w:rPr>
          <w:rFonts w:ascii="FreeSetLightC" w:eastAsia="MS Mincho" w:hAnsi="FreeSetLightC" w:cs="Arial"/>
          <w:sz w:val="22"/>
          <w:szCs w:val="22"/>
        </w:rPr>
        <w:t xml:space="preserve">ым признаком 4 в четырнадцатом разряде  </w:t>
      </w:r>
    </w:p>
    <w:p w:rsidR="00227A1C" w:rsidRPr="0096519D" w:rsidRDefault="00227A1C" w:rsidP="00A17C4B">
      <w:pPr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40703 с отличительным признаком 4 в четырнадцатом разряде</w:t>
      </w:r>
    </w:p>
    <w:p w:rsidR="00227A1C" w:rsidRPr="0096519D" w:rsidRDefault="00227A1C" w:rsidP="00A17C4B">
      <w:pPr>
        <w:pStyle w:val="a4"/>
        <w:spacing w:after="240"/>
        <w:jc w:val="left"/>
      </w:pPr>
      <w:r w:rsidRPr="0096519D">
        <w:t>и помимо реквизитов, указанных в п.2, обязательным является указание следующей информации:</w:t>
      </w:r>
    </w:p>
    <w:p w:rsidR="00227A1C" w:rsidRPr="00FA6D60" w:rsidRDefault="00227A1C" w:rsidP="00FA6D60">
      <w:pPr>
        <w:pStyle w:val="a3"/>
        <w:numPr>
          <w:ilvl w:val="0"/>
          <w:numId w:val="9"/>
        </w:numPr>
        <w:ind w:left="709"/>
        <w:jc w:val="both"/>
        <w:rPr>
          <w:rFonts w:ascii="FreeSetLightC" w:eastAsia="MS Mincho" w:hAnsi="FreeSetLightC" w:cs="Arial"/>
          <w:sz w:val="22"/>
          <w:szCs w:val="22"/>
        </w:rPr>
      </w:pPr>
      <w:r w:rsidRPr="00FA6D60">
        <w:rPr>
          <w:rFonts w:ascii="FreeSetLightC" w:eastAsia="MS Mincho" w:hAnsi="FreeSetLightC" w:cs="Arial"/>
          <w:sz w:val="22"/>
          <w:szCs w:val="22"/>
        </w:rPr>
        <w:t>Основание платежа – указывается «ноль»;</w:t>
      </w:r>
    </w:p>
    <w:p w:rsidR="00227A1C" w:rsidRPr="00FA6D60" w:rsidRDefault="00227A1C" w:rsidP="00FA6D60">
      <w:pPr>
        <w:pStyle w:val="a3"/>
        <w:numPr>
          <w:ilvl w:val="0"/>
          <w:numId w:val="9"/>
        </w:numPr>
        <w:ind w:left="709"/>
        <w:jc w:val="both"/>
        <w:rPr>
          <w:rFonts w:ascii="FreeSetLightC" w:eastAsia="MS Mincho" w:hAnsi="FreeSetLightC" w:cs="Arial"/>
          <w:sz w:val="22"/>
          <w:szCs w:val="22"/>
        </w:rPr>
      </w:pPr>
      <w:r w:rsidRPr="00FA6D60">
        <w:rPr>
          <w:rFonts w:ascii="FreeSetLightC" w:eastAsia="MS Mincho" w:hAnsi="FreeSetLightC" w:cs="Arial"/>
          <w:sz w:val="22"/>
          <w:szCs w:val="22"/>
        </w:rPr>
        <w:t>Код таможенного органа - указывается «ноль»;</w:t>
      </w:r>
    </w:p>
    <w:p w:rsidR="00227A1C" w:rsidRPr="0096519D" w:rsidRDefault="00227A1C" w:rsidP="00FA6D60">
      <w:pPr>
        <w:ind w:left="709"/>
        <w:jc w:val="both"/>
        <w:rPr>
          <w:rFonts w:ascii="FreeSetLightC" w:eastAsia="MS Mincho" w:hAnsi="FreeSetLightC" w:cs="Arial"/>
          <w:sz w:val="22"/>
          <w:szCs w:val="22"/>
        </w:rPr>
      </w:pPr>
      <w:r w:rsidRPr="0096519D">
        <w:rPr>
          <w:rFonts w:ascii="FreeSetLightC" w:eastAsia="MS Mincho" w:hAnsi="FreeSetLightC" w:cs="Arial"/>
          <w:sz w:val="22"/>
          <w:szCs w:val="22"/>
        </w:rPr>
        <w:t>В случае указания в поле «Бюджетный статус» одного из статусов 03, 19, 20, 24 указывается идентификатор сведений о физическом лице. В поле «Ид. Сведений о физическом лице» выбирается тип документа из имеющегося справочника, заполняются поля «Серия», «Номер»;</w:t>
      </w:r>
    </w:p>
    <w:p w:rsidR="00227A1C" w:rsidRPr="00FA6D60" w:rsidRDefault="00227A1C" w:rsidP="00FA6D60">
      <w:pPr>
        <w:pStyle w:val="a3"/>
        <w:numPr>
          <w:ilvl w:val="0"/>
          <w:numId w:val="9"/>
        </w:numPr>
        <w:ind w:left="709"/>
        <w:jc w:val="both"/>
        <w:rPr>
          <w:rFonts w:ascii="FreeSetLightC" w:eastAsia="MS Mincho" w:hAnsi="FreeSetLightC" w:cs="Arial"/>
          <w:sz w:val="22"/>
          <w:szCs w:val="22"/>
        </w:rPr>
      </w:pPr>
      <w:r w:rsidRPr="00FA6D60">
        <w:rPr>
          <w:rFonts w:ascii="FreeSetLightC" w:eastAsia="MS Mincho" w:hAnsi="FreeSetLightC" w:cs="Arial"/>
          <w:sz w:val="22"/>
          <w:szCs w:val="22"/>
        </w:rPr>
        <w:t>Показатель даты документа - указывается «ноль».</w:t>
      </w:r>
    </w:p>
    <w:p w:rsidR="00227A1C" w:rsidRPr="0096519D" w:rsidRDefault="00227A1C" w:rsidP="00FA6D60">
      <w:pPr>
        <w:ind w:left="709"/>
        <w:jc w:val="both"/>
        <w:rPr>
          <w:rFonts w:ascii="FreeSetLightC" w:eastAsia="MS Mincho" w:hAnsi="FreeSetLightC" w:cs="Arial"/>
          <w:sz w:val="22"/>
          <w:szCs w:val="22"/>
        </w:rPr>
      </w:pPr>
    </w:p>
    <w:p w:rsidR="00227A1C" w:rsidRDefault="00227A1C" w:rsidP="00FA6D60">
      <w:pPr>
        <w:ind w:left="709"/>
        <w:jc w:val="both"/>
        <w:rPr>
          <w:rFonts w:ascii="FreeSetLightC" w:eastAsia="MS Mincho" w:hAnsi="FreeSetLightC" w:cs="Arial"/>
          <w:b/>
          <w:sz w:val="22"/>
          <w:szCs w:val="22"/>
        </w:rPr>
      </w:pPr>
    </w:p>
    <w:p w:rsidR="006D0AAD" w:rsidRDefault="00A17C4B"/>
    <w:sectPr w:rsidR="006D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4072"/>
    <w:multiLevelType w:val="hybridMultilevel"/>
    <w:tmpl w:val="AACE3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34C"/>
    <w:multiLevelType w:val="hybridMultilevel"/>
    <w:tmpl w:val="9F005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484B"/>
    <w:multiLevelType w:val="hybridMultilevel"/>
    <w:tmpl w:val="68FE3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7ACD"/>
    <w:multiLevelType w:val="hybridMultilevel"/>
    <w:tmpl w:val="DB422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CFB"/>
    <w:multiLevelType w:val="hybridMultilevel"/>
    <w:tmpl w:val="84FE7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B44809"/>
    <w:multiLevelType w:val="hybridMultilevel"/>
    <w:tmpl w:val="26584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529DA"/>
    <w:multiLevelType w:val="hybridMultilevel"/>
    <w:tmpl w:val="7C5E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E7A36"/>
    <w:multiLevelType w:val="hybridMultilevel"/>
    <w:tmpl w:val="3B14F806"/>
    <w:lvl w:ilvl="0" w:tplc="73528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C8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45C09"/>
    <w:multiLevelType w:val="hybridMultilevel"/>
    <w:tmpl w:val="02C6C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3819"/>
    <w:multiLevelType w:val="hybridMultilevel"/>
    <w:tmpl w:val="5F20A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1C"/>
    <w:rsid w:val="00084A38"/>
    <w:rsid w:val="001327EE"/>
    <w:rsid w:val="00192964"/>
    <w:rsid w:val="00227A1C"/>
    <w:rsid w:val="003C36E7"/>
    <w:rsid w:val="00563E9C"/>
    <w:rsid w:val="006301CA"/>
    <w:rsid w:val="00693138"/>
    <w:rsid w:val="006A6C2E"/>
    <w:rsid w:val="00705D9C"/>
    <w:rsid w:val="00A166D5"/>
    <w:rsid w:val="00A17C4B"/>
    <w:rsid w:val="00AF2D21"/>
    <w:rsid w:val="00C05D60"/>
    <w:rsid w:val="00C568F7"/>
    <w:rsid w:val="00D1715B"/>
    <w:rsid w:val="00E435AE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A8CD-38AF-42B1-987F-2F43D0F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A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A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7A1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7A1C"/>
    <w:pPr>
      <w:jc w:val="both"/>
    </w:pPr>
    <w:rPr>
      <w:rFonts w:ascii="FreeSetLightC" w:eastAsia="MS Mincho" w:hAnsi="FreeSetLightC" w:cs="Arial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227A1C"/>
    <w:rPr>
      <w:rFonts w:ascii="FreeSetLightC" w:eastAsia="MS Mincho" w:hAnsi="FreeSetLightC" w:cs="Arial"/>
      <w:lang w:eastAsia="ru-RU"/>
    </w:rPr>
  </w:style>
  <w:style w:type="paragraph" w:styleId="a6">
    <w:name w:val="Body Text Indent"/>
    <w:basedOn w:val="a"/>
    <w:link w:val="a7"/>
    <w:uiPriority w:val="99"/>
    <w:unhideWhenUsed/>
    <w:rsid w:val="00227A1C"/>
    <w:pPr>
      <w:ind w:firstLine="426"/>
      <w:jc w:val="both"/>
    </w:pPr>
    <w:rPr>
      <w:rFonts w:ascii="FreeSetLightC" w:eastAsia="MS Mincho" w:hAnsi="FreeSetLightC" w:cs="Arial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27A1C"/>
    <w:rPr>
      <w:rFonts w:ascii="FreeSetLightC" w:eastAsia="MS Mincho" w:hAnsi="FreeSetLightC" w:cs="Arial"/>
      <w:lang w:eastAsia="ru-RU"/>
    </w:rPr>
  </w:style>
  <w:style w:type="paragraph" w:styleId="2">
    <w:name w:val="Body Text 2"/>
    <w:basedOn w:val="a"/>
    <w:link w:val="20"/>
    <w:uiPriority w:val="99"/>
    <w:unhideWhenUsed/>
    <w:rsid w:val="00227A1C"/>
    <w:rPr>
      <w:rFonts w:ascii="FreeSetLightC" w:eastAsia="MS Mincho" w:hAnsi="FreeSetLightC" w:cs="Arial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227A1C"/>
    <w:rPr>
      <w:rFonts w:ascii="FreeSetLightC" w:eastAsia="MS Mincho" w:hAnsi="FreeSetLightC" w:cs="Arial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327EE"/>
    <w:pPr>
      <w:ind w:left="567"/>
      <w:jc w:val="both"/>
    </w:pPr>
    <w:rPr>
      <w:rFonts w:ascii="FreeSetLightC" w:eastAsia="MS Mincho" w:hAnsi="FreeSetLightC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327EE"/>
    <w:rPr>
      <w:rFonts w:ascii="FreeSetLightC" w:eastAsia="MS Mincho" w:hAnsi="FreeSetLightC" w:cs="Arial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17C4B"/>
    <w:pPr>
      <w:ind w:left="720"/>
      <w:jc w:val="both"/>
    </w:pPr>
    <w:rPr>
      <w:rFonts w:ascii="FreeSetLightC" w:eastAsia="MS Mincho" w:hAnsi="FreeSetLightC" w:cs="Arial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7C4B"/>
    <w:rPr>
      <w:rFonts w:ascii="FreeSetLightC" w:eastAsia="MS Mincho" w:hAnsi="FreeSetLightC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Agroprombank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Докина Елена Васильевна</dc:creator>
  <cp:keywords/>
  <dc:description/>
  <cp:lastModifiedBy>Докина Елена Васильевна</cp:lastModifiedBy>
  <cp:revision>2</cp:revision>
  <dcterms:created xsi:type="dcterms:W3CDTF">2019-03-14T08:43:00Z</dcterms:created>
  <dcterms:modified xsi:type="dcterms:W3CDTF">2019-03-14T09:36:00Z</dcterms:modified>
</cp:coreProperties>
</file>